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EB" w:rsidRPr="002E149F" w:rsidRDefault="009E1D7B" w:rsidP="002E149F">
      <w:pPr>
        <w:spacing w:after="120" w:line="240" w:lineRule="auto"/>
        <w:ind w:left="141" w:right="142"/>
        <w:jc w:val="center"/>
        <w:rPr>
          <w:rFonts w:cs="B Titr"/>
          <w:sz w:val="40"/>
          <w:szCs w:val="40"/>
          <w:rtl/>
        </w:rPr>
      </w:pPr>
      <w:r w:rsidRPr="009E1D7B">
        <w:rPr>
          <w:rFonts w:ascii="B Titr Bold+FPEF" w:cs="B Titr"/>
          <w:b/>
          <w:bCs/>
          <w:noProof/>
          <w:kern w:val="0"/>
          <w:sz w:val="34"/>
          <w:szCs w:val="40"/>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36.3pt;margin-top:3.2pt;width:261pt;height:59.25pt;z-index:251658240" strokeweight="1.5pt">
            <w10:wrap anchorx="page"/>
          </v:shape>
        </w:pict>
      </w:r>
      <w:r w:rsidR="00326BEB" w:rsidRPr="002E149F">
        <w:rPr>
          <w:rFonts w:ascii="B Titr Bold+FPEF" w:cs="B Titr" w:hint="cs"/>
          <w:b/>
          <w:bCs/>
          <w:kern w:val="0"/>
          <w:sz w:val="34"/>
          <w:szCs w:val="40"/>
          <w:rtl/>
        </w:rPr>
        <w:t>سقف</w:t>
      </w:r>
      <w:r w:rsidR="00326BEB" w:rsidRPr="002E149F">
        <w:rPr>
          <w:rFonts w:ascii="B Titr Bold+FPEF" w:cs="B Titr"/>
          <w:b/>
          <w:bCs/>
          <w:kern w:val="0"/>
          <w:sz w:val="34"/>
          <w:szCs w:val="40"/>
        </w:rPr>
        <w:t xml:space="preserve"> </w:t>
      </w:r>
      <w:r w:rsidR="00326BEB" w:rsidRPr="002E149F">
        <w:rPr>
          <w:rFonts w:ascii="B Titr Bold+FPEF" w:cs="B Titr" w:hint="cs"/>
          <w:b/>
          <w:bCs/>
          <w:kern w:val="0"/>
          <w:sz w:val="34"/>
          <w:szCs w:val="40"/>
          <w:rtl/>
        </w:rPr>
        <w:t>تعهدات</w:t>
      </w:r>
      <w:r w:rsidR="00326BEB" w:rsidRPr="002E149F">
        <w:rPr>
          <w:rFonts w:ascii="B Titr Bold+FPEF" w:cs="B Titr"/>
          <w:b/>
          <w:bCs/>
          <w:kern w:val="0"/>
          <w:sz w:val="34"/>
          <w:szCs w:val="40"/>
        </w:rPr>
        <w:t xml:space="preserve"> </w:t>
      </w:r>
      <w:r w:rsidR="002E149F" w:rsidRPr="002E149F">
        <w:rPr>
          <w:rFonts w:ascii="B Titr Bold+FPEF" w:cs="B Titr" w:hint="cs"/>
          <w:b/>
          <w:bCs/>
          <w:kern w:val="0"/>
          <w:sz w:val="34"/>
          <w:szCs w:val="40"/>
          <w:rtl/>
        </w:rPr>
        <w:t>بيمه تكميلي 1395</w:t>
      </w:r>
    </w:p>
    <w:p w:rsidR="002E149F" w:rsidRPr="002E149F" w:rsidRDefault="002E149F" w:rsidP="002E149F">
      <w:pPr>
        <w:spacing w:after="120" w:line="240" w:lineRule="auto"/>
        <w:ind w:left="141" w:right="142"/>
        <w:jc w:val="center"/>
        <w:rPr>
          <w:rFonts w:cs="B Titr"/>
          <w:rtl/>
        </w:rPr>
      </w:pPr>
      <w:r w:rsidRPr="002E149F">
        <w:rPr>
          <w:rFonts w:cs="B Titr" w:hint="cs"/>
          <w:rtl/>
        </w:rPr>
        <w:t xml:space="preserve"> </w:t>
      </w:r>
      <w:r w:rsidRPr="002E149F">
        <w:rPr>
          <w:rFonts w:cs="B Titr" w:hint="cs"/>
        </w:rPr>
        <w:sym w:font="Wingdings" w:char="F0CF"/>
      </w:r>
      <w:r w:rsidRPr="002E149F">
        <w:rPr>
          <w:rFonts w:cs="B Titr" w:hint="cs"/>
          <w:rtl/>
        </w:rPr>
        <w:t xml:space="preserve"> طرف قرارداد بيمه سين</w:t>
      </w:r>
      <w:r w:rsidR="00DF6431">
        <w:rPr>
          <w:rFonts w:cs="B Titr" w:hint="cs"/>
          <w:rtl/>
        </w:rPr>
        <w:t>ـ</w:t>
      </w:r>
      <w:r w:rsidRPr="002E149F">
        <w:rPr>
          <w:rFonts w:cs="B Titr" w:hint="cs"/>
          <w:rtl/>
        </w:rPr>
        <w:t>ا</w:t>
      </w:r>
      <w:r w:rsidRPr="002E149F">
        <w:rPr>
          <w:rFonts w:cs="B Titr" w:hint="cs"/>
        </w:rPr>
        <w:sym w:font="Wingdings" w:char="F0D2"/>
      </w:r>
      <w:r w:rsidRPr="002E149F">
        <w:rPr>
          <w:rFonts w:cs="B Titr"/>
        </w:rPr>
        <w:t xml:space="preserve"> </w:t>
      </w:r>
    </w:p>
    <w:tbl>
      <w:tblPr>
        <w:bidiVisual/>
        <w:tblW w:w="10774"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8033"/>
        <w:gridCol w:w="2055"/>
      </w:tblGrid>
      <w:tr w:rsidR="00326BEB" w:rsidRPr="00023B29" w:rsidTr="00326BEB">
        <w:tc>
          <w:tcPr>
            <w:tcW w:w="686"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رديف</w:t>
            </w:r>
          </w:p>
        </w:tc>
        <w:tc>
          <w:tcPr>
            <w:tcW w:w="8033"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شـــــرح</w:t>
            </w:r>
          </w:p>
        </w:tc>
        <w:tc>
          <w:tcPr>
            <w:tcW w:w="2055"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سقف تعهدات</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1</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حداكثر سقف تعهدات ساليانه هزينه هاي بستري جراحي (عمومي و تخصصي) در بيمارستان و مراكز جراحي محدود، انواع سنگ شكن ، آنژيوگرافي قلب، جراحي ديسك، ستون فقرات ، لاپاراسكوپي، ليزرتراپي ته چشم (سرپايي و بستري) براي هر نفر تا مبلغ</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000/000/50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2</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حداكثر سقف تعهدات ساليانه براي اعمال جراحي فوق تخصصي شامل: مغز و اعصاب، قلب و عروق،گامانايف، پيوند قرنيه، پيوند ريه، پيوند كبد و كليه و پيوند مغز استخوان،جراحي فك و صورت،</w:t>
            </w:r>
            <w:r>
              <w:rPr>
                <w:rFonts w:hint="cs"/>
                <w:sz w:val="26"/>
                <w:szCs w:val="26"/>
                <w:rtl/>
              </w:rPr>
              <w:t>جراحي پلاستيك در صورت بروز حادثه،</w:t>
            </w:r>
            <w:r w:rsidRPr="00023B29">
              <w:rPr>
                <w:rFonts w:hint="cs"/>
                <w:sz w:val="26"/>
                <w:szCs w:val="26"/>
                <w:rtl/>
              </w:rPr>
              <w:t xml:space="preserve"> انواع بيماريهاي خاص، شيمي درماني، داروهاي مربوط به شيمي درماني، عوارض وبيماريهاي مستقيم وغير مستقيم ناشي ازشيمي درماني و عوارض آن در مراكز درماني و داخل  مطب به صورت سرپايي و بستري  براي هر نفر تا مبلغ </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000/000/100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3</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حداكثر سقف تعهدات ساليانه هزينه زايمان اعم از طبيعي و سزارين و كورتاژ تشخيصي درماني و نازايي تا مبلغ</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000/000/10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4</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 xml:space="preserve">حداكثر سقف تعهدات ساليانه پاراكلينيك شامل: خدمات تشخيصي، آزمايشات ژنتيك و پاتولوژي ، سونوگرافي وسونوگرافي داخل مطب و ساير مراكز، راديوتراپي، </w:t>
            </w:r>
            <w:r w:rsidRPr="00023B29">
              <w:rPr>
                <w:sz w:val="26"/>
                <w:szCs w:val="26"/>
              </w:rPr>
              <w:t>MRI</w:t>
            </w:r>
            <w:r w:rsidRPr="00023B29">
              <w:rPr>
                <w:rFonts w:hint="cs"/>
                <w:sz w:val="26"/>
                <w:szCs w:val="26"/>
                <w:rtl/>
              </w:rPr>
              <w:t xml:space="preserve">، انواع اسكن، </w:t>
            </w:r>
            <w:r w:rsidRPr="00023B29">
              <w:rPr>
                <w:sz w:val="26"/>
                <w:szCs w:val="26"/>
              </w:rPr>
              <w:t>CT</w:t>
            </w:r>
            <w:r w:rsidRPr="00023B29">
              <w:rPr>
                <w:rFonts w:hint="cs"/>
                <w:sz w:val="26"/>
                <w:szCs w:val="26"/>
                <w:rtl/>
              </w:rPr>
              <w:t xml:space="preserve"> آنژيوگرافي سه بعدي،گرافي پانوركس ،انواع  اندوسكوپي، سيتوسكوپي، اسپيومتري ، ركتوسكوپي، ماموگرافي،راديوگرافي دندان،  اكوكارديوگرافي، راديولوژي، فيزيوتراپي باتزريق وليزر، تست ورزش، نوارعضله، نوار عصب، نوار مغز،نوار مثانه، سنجش تراكم استخوان،هولترمانيتورينگ قلب، نوار قلب، آنژيوگرافي چشم، تست آلرژي، سمعك، تست شنوايي سنجي، بينايي سنجي، تست تنفسي، جرم گيري گوش،گفتار درمانی،كار درماني، پرتو درماني و مشاوره روانشناسي از هر نوع براي هر نفر تا مبلغ  </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000/000/12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5</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هزينه هاي مربوط به درمان مجاز سرپايي مانند شكستي ها و دررفتگي ها، گچ گيري، ختنه، تزريقات، پانسمانهاي معمولي و بيولوژيكي(كامفيلد)،بيوپسي ، بخيه،كرايو تراپي،پاپ اسمير، تخليه كيست،دانسيتومتري، اكسيزيون ليپوم(ضايعات بدني و تومور)، آنژيوگرافي چشم و ليزر درماني براي هر نفر تا مبلغ</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000/500/2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6</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جبران هزينه هاي ليزيك (رفع عيوب انكساري چشم) به ميزان5/3 ديوپتر يا بيشتر با تاييد قبلي پزشك بيمه گر براي هر چشم000/000/6 ريال وبراي هرنفرتامبلغ</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000/000/12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7</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 xml:space="preserve">انتقال بيمار با آمبولانس در موارد بين شهري و داخل شهري در سال براي هر نفر تا مبلغ </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000/000/1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8</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 xml:space="preserve">هزينه عينك و لنز براي هر نفر </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000/800 ريال</w:t>
            </w:r>
          </w:p>
        </w:tc>
      </w:tr>
      <w:tr w:rsidR="00326BEB" w:rsidRPr="00023B29" w:rsidTr="00326BEB">
        <w:tc>
          <w:tcPr>
            <w:tcW w:w="686"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9</w:t>
            </w:r>
          </w:p>
        </w:tc>
        <w:tc>
          <w:tcPr>
            <w:tcW w:w="8033" w:type="dxa"/>
          </w:tcPr>
          <w:p w:rsidR="00326BEB" w:rsidRPr="00023B29" w:rsidRDefault="00326BEB" w:rsidP="00103789">
            <w:pPr>
              <w:spacing w:before="60" w:after="60" w:line="240" w:lineRule="auto"/>
              <w:jc w:val="lowKashida"/>
              <w:rPr>
                <w:sz w:val="26"/>
                <w:szCs w:val="26"/>
                <w:rtl/>
              </w:rPr>
            </w:pPr>
            <w:r w:rsidRPr="00023B29">
              <w:rPr>
                <w:rFonts w:hint="cs"/>
                <w:sz w:val="26"/>
                <w:szCs w:val="26"/>
                <w:rtl/>
              </w:rPr>
              <w:t>ويزيت و دارو(بر اساس فهرست داروهاي مجاز كشور صرفا مازاد بر سهم بيمه گر اول) براي هر نفر</w:t>
            </w:r>
          </w:p>
        </w:tc>
        <w:tc>
          <w:tcPr>
            <w:tcW w:w="2055" w:type="dxa"/>
            <w:vAlign w:val="center"/>
          </w:tcPr>
          <w:p w:rsidR="00326BEB" w:rsidRPr="00023B29" w:rsidRDefault="00326BEB" w:rsidP="00103789">
            <w:pPr>
              <w:spacing w:before="60" w:after="60" w:line="25" w:lineRule="atLeast"/>
              <w:jc w:val="center"/>
              <w:rPr>
                <w:sz w:val="26"/>
                <w:szCs w:val="26"/>
                <w:rtl/>
              </w:rPr>
            </w:pPr>
            <w:r w:rsidRPr="00023B29">
              <w:rPr>
                <w:rFonts w:hint="cs"/>
                <w:sz w:val="26"/>
                <w:szCs w:val="26"/>
                <w:rtl/>
              </w:rPr>
              <w:t>000/000/2 ريال</w:t>
            </w:r>
          </w:p>
        </w:tc>
      </w:tr>
    </w:tbl>
    <w:p w:rsidR="00326BEB" w:rsidRPr="00326BEB" w:rsidRDefault="00326BEB" w:rsidP="00326BEB">
      <w:pPr>
        <w:spacing w:before="120" w:after="120"/>
        <w:ind w:left="283"/>
        <w:jc w:val="both"/>
        <w:rPr>
          <w:rFonts w:ascii="Arial" w:hAnsi="Arial"/>
          <w:color w:val="000000"/>
          <w:sz w:val="6"/>
          <w:szCs w:val="6"/>
          <w:rtl/>
        </w:rPr>
      </w:pPr>
    </w:p>
    <w:p w:rsidR="00326BEB" w:rsidRDefault="00326BEB" w:rsidP="002E149F">
      <w:pPr>
        <w:spacing w:before="120" w:after="120"/>
        <w:ind w:left="283"/>
        <w:jc w:val="both"/>
        <w:rPr>
          <w:rFonts w:ascii="Arial" w:hAnsi="Arial"/>
          <w:color w:val="000000"/>
          <w:sz w:val="33"/>
          <w:szCs w:val="33"/>
          <w:rtl/>
        </w:rPr>
      </w:pPr>
      <w:r w:rsidRPr="002E149F">
        <w:rPr>
          <w:rFonts w:ascii="Arial" w:hAnsi="Arial" w:hint="cs"/>
          <w:color w:val="000000"/>
          <w:sz w:val="33"/>
          <w:szCs w:val="33"/>
          <w:rtl/>
        </w:rPr>
        <w:t xml:space="preserve">اجرايي شدن </w:t>
      </w:r>
      <w:r w:rsidR="002E149F">
        <w:rPr>
          <w:rFonts w:ascii="Arial" w:hAnsi="Arial" w:cs="B Titr" w:hint="cs"/>
          <w:color w:val="000000"/>
          <w:sz w:val="27"/>
          <w:szCs w:val="27"/>
          <w:rtl/>
        </w:rPr>
        <w:t>طرح با</w:t>
      </w:r>
      <w:r w:rsidRPr="002E149F">
        <w:rPr>
          <w:rFonts w:ascii="Arial" w:hAnsi="Arial" w:cs="B Titr" w:hint="cs"/>
          <w:color w:val="000000"/>
          <w:sz w:val="27"/>
          <w:szCs w:val="27"/>
          <w:rtl/>
        </w:rPr>
        <w:t xml:space="preserve"> دارو و ويزيت</w:t>
      </w:r>
      <w:r w:rsidRPr="002E149F">
        <w:rPr>
          <w:rFonts w:ascii="Arial" w:hAnsi="Arial" w:hint="cs"/>
          <w:color w:val="000000"/>
          <w:sz w:val="27"/>
          <w:szCs w:val="27"/>
          <w:rtl/>
        </w:rPr>
        <w:t xml:space="preserve"> </w:t>
      </w:r>
      <w:r w:rsidRPr="002E149F">
        <w:rPr>
          <w:rFonts w:ascii="Arial" w:hAnsi="Arial" w:hint="cs"/>
          <w:color w:val="000000"/>
          <w:sz w:val="33"/>
          <w:szCs w:val="33"/>
          <w:rtl/>
        </w:rPr>
        <w:t xml:space="preserve">در صورتي انجام مي پذيرد كه تعداد پرسنل متقاضي و افراد تحت پوشش حداقل به </w:t>
      </w:r>
      <w:r w:rsidRPr="002E149F">
        <w:rPr>
          <w:rFonts w:ascii="Arial" w:hAnsi="Arial" w:cs="B Titr" w:hint="cs"/>
          <w:color w:val="000000"/>
          <w:sz w:val="27"/>
          <w:szCs w:val="27"/>
          <w:rtl/>
        </w:rPr>
        <w:t>500 نفر</w:t>
      </w:r>
      <w:r w:rsidRPr="002E149F">
        <w:rPr>
          <w:rFonts w:ascii="Arial" w:hAnsi="Arial" w:hint="cs"/>
          <w:color w:val="000000"/>
          <w:sz w:val="33"/>
          <w:szCs w:val="33"/>
          <w:rtl/>
        </w:rPr>
        <w:t xml:space="preserve"> برسد؛ در غير اين صورت كليه ثبت نام شدگان </w:t>
      </w:r>
      <w:r w:rsidRPr="002E149F">
        <w:rPr>
          <w:rFonts w:ascii="Arial" w:hAnsi="Arial" w:cs="B Titr" w:hint="cs"/>
          <w:b/>
          <w:bCs/>
          <w:color w:val="000000"/>
          <w:sz w:val="27"/>
          <w:szCs w:val="27"/>
          <w:rtl/>
        </w:rPr>
        <w:t>مشمول طرح بدون دارو و ويزيت</w:t>
      </w:r>
      <w:r w:rsidRPr="002E149F">
        <w:rPr>
          <w:rFonts w:ascii="Arial" w:hAnsi="Arial" w:hint="cs"/>
          <w:color w:val="000000"/>
          <w:sz w:val="33"/>
          <w:szCs w:val="33"/>
          <w:rtl/>
        </w:rPr>
        <w:t xml:space="preserve"> تلقي خواهند شد</w:t>
      </w:r>
      <w:r w:rsidR="002E149F">
        <w:rPr>
          <w:rFonts w:ascii="Arial" w:hAnsi="Arial" w:hint="cs"/>
          <w:color w:val="000000"/>
          <w:sz w:val="33"/>
          <w:szCs w:val="33"/>
          <w:rtl/>
        </w:rPr>
        <w:t>.</w:t>
      </w:r>
    </w:p>
    <w:p w:rsidR="002E149F" w:rsidRPr="002E149F" w:rsidRDefault="002E149F" w:rsidP="002E149F">
      <w:pPr>
        <w:spacing w:before="120" w:after="120"/>
        <w:ind w:left="283"/>
        <w:jc w:val="both"/>
        <w:rPr>
          <w:rFonts w:ascii="Arial" w:hAnsi="Arial"/>
          <w:color w:val="000000"/>
          <w:rtl/>
        </w:rPr>
      </w:pPr>
    </w:p>
    <w:tbl>
      <w:tblPr>
        <w:tblStyle w:val="TableGrid"/>
        <w:bidiVisual/>
        <w:tblW w:w="10749" w:type="dxa"/>
        <w:tblInd w:w="249" w:type="dxa"/>
        <w:tblLook w:val="04A0"/>
      </w:tblPr>
      <w:tblGrid>
        <w:gridCol w:w="5387"/>
        <w:gridCol w:w="5362"/>
      </w:tblGrid>
      <w:tr w:rsidR="00326BEB" w:rsidTr="002E149F">
        <w:tc>
          <w:tcPr>
            <w:tcW w:w="5387" w:type="dxa"/>
            <w:tcBorders>
              <w:top w:val="single" w:sz="18" w:space="0" w:color="auto"/>
              <w:bottom w:val="single" w:sz="18" w:space="0" w:color="auto"/>
              <w:right w:val="single" w:sz="18" w:space="0" w:color="auto"/>
            </w:tcBorders>
          </w:tcPr>
          <w:p w:rsidR="00326BEB" w:rsidRPr="00845D24" w:rsidRDefault="00326BEB" w:rsidP="00103789">
            <w:pPr>
              <w:jc w:val="center"/>
              <w:rPr>
                <w:rFonts w:cs="B Titr"/>
                <w:sz w:val="36"/>
                <w:szCs w:val="36"/>
                <w:rtl/>
              </w:rPr>
            </w:pPr>
            <w:r w:rsidRPr="00845D24">
              <w:rPr>
                <w:rFonts w:cs="B Titr" w:hint="cs"/>
                <w:sz w:val="36"/>
                <w:szCs w:val="36"/>
                <w:rtl/>
              </w:rPr>
              <w:t>طرح بدون دارو و ويزيت</w:t>
            </w:r>
          </w:p>
        </w:tc>
        <w:tc>
          <w:tcPr>
            <w:tcW w:w="5362" w:type="dxa"/>
            <w:tcBorders>
              <w:top w:val="single" w:sz="18" w:space="0" w:color="auto"/>
              <w:left w:val="single" w:sz="18" w:space="0" w:color="auto"/>
              <w:bottom w:val="single" w:sz="18" w:space="0" w:color="auto"/>
              <w:right w:val="single" w:sz="18" w:space="0" w:color="auto"/>
            </w:tcBorders>
          </w:tcPr>
          <w:p w:rsidR="00326BEB" w:rsidRPr="00845D24" w:rsidRDefault="00326BEB" w:rsidP="00326BEB">
            <w:pPr>
              <w:jc w:val="center"/>
              <w:rPr>
                <w:rFonts w:cs="B Titr"/>
                <w:sz w:val="36"/>
                <w:szCs w:val="36"/>
                <w:rtl/>
              </w:rPr>
            </w:pPr>
            <w:r w:rsidRPr="00845D24">
              <w:rPr>
                <w:rFonts w:cs="B Titr" w:hint="cs"/>
                <w:sz w:val="36"/>
                <w:szCs w:val="36"/>
                <w:rtl/>
              </w:rPr>
              <w:t xml:space="preserve">مبلغ هر نفر </w:t>
            </w:r>
            <w:r>
              <w:rPr>
                <w:rFonts w:cs="B Titr" w:hint="cs"/>
                <w:sz w:val="36"/>
                <w:szCs w:val="36"/>
                <w:rtl/>
              </w:rPr>
              <w:t>295،000</w:t>
            </w:r>
            <w:r w:rsidRPr="00845D24">
              <w:rPr>
                <w:rFonts w:cs="B Titr" w:hint="cs"/>
                <w:sz w:val="36"/>
                <w:szCs w:val="36"/>
                <w:rtl/>
              </w:rPr>
              <w:t xml:space="preserve"> ريال</w:t>
            </w:r>
          </w:p>
        </w:tc>
      </w:tr>
      <w:tr w:rsidR="00326BEB" w:rsidTr="002E149F">
        <w:tc>
          <w:tcPr>
            <w:tcW w:w="5387" w:type="dxa"/>
            <w:tcBorders>
              <w:top w:val="single" w:sz="18" w:space="0" w:color="auto"/>
              <w:bottom w:val="single" w:sz="18" w:space="0" w:color="auto"/>
              <w:right w:val="single" w:sz="18" w:space="0" w:color="auto"/>
            </w:tcBorders>
          </w:tcPr>
          <w:p w:rsidR="00326BEB" w:rsidRPr="00845D24" w:rsidRDefault="00326BEB" w:rsidP="00103789">
            <w:pPr>
              <w:jc w:val="center"/>
              <w:rPr>
                <w:rFonts w:cs="B Titr"/>
                <w:sz w:val="36"/>
                <w:szCs w:val="36"/>
                <w:rtl/>
              </w:rPr>
            </w:pPr>
            <w:r w:rsidRPr="00845D24">
              <w:rPr>
                <w:rFonts w:cs="B Titr" w:hint="cs"/>
                <w:sz w:val="36"/>
                <w:szCs w:val="36"/>
                <w:rtl/>
              </w:rPr>
              <w:t>طرح با دارو و ويزيت</w:t>
            </w:r>
          </w:p>
        </w:tc>
        <w:tc>
          <w:tcPr>
            <w:tcW w:w="5362" w:type="dxa"/>
            <w:tcBorders>
              <w:top w:val="single" w:sz="18" w:space="0" w:color="auto"/>
              <w:left w:val="single" w:sz="18" w:space="0" w:color="auto"/>
              <w:bottom w:val="single" w:sz="18" w:space="0" w:color="auto"/>
              <w:right w:val="single" w:sz="18" w:space="0" w:color="auto"/>
            </w:tcBorders>
          </w:tcPr>
          <w:p w:rsidR="00326BEB" w:rsidRPr="00845D24" w:rsidRDefault="00326BEB" w:rsidP="00326BEB">
            <w:pPr>
              <w:jc w:val="center"/>
              <w:rPr>
                <w:rFonts w:cs="B Titr"/>
                <w:sz w:val="36"/>
                <w:szCs w:val="36"/>
                <w:rtl/>
              </w:rPr>
            </w:pPr>
            <w:r w:rsidRPr="00845D24">
              <w:rPr>
                <w:rFonts w:cs="B Titr" w:hint="cs"/>
                <w:sz w:val="36"/>
                <w:szCs w:val="36"/>
                <w:rtl/>
              </w:rPr>
              <w:t xml:space="preserve">مبلغ هر نفر </w:t>
            </w:r>
            <w:r>
              <w:rPr>
                <w:rFonts w:cs="B Titr" w:hint="cs"/>
                <w:sz w:val="36"/>
                <w:szCs w:val="36"/>
                <w:rtl/>
              </w:rPr>
              <w:t>371،000</w:t>
            </w:r>
            <w:r w:rsidRPr="00845D24">
              <w:rPr>
                <w:rFonts w:cs="B Titr" w:hint="cs"/>
                <w:sz w:val="36"/>
                <w:szCs w:val="36"/>
                <w:rtl/>
              </w:rPr>
              <w:t xml:space="preserve"> ريال</w:t>
            </w:r>
          </w:p>
        </w:tc>
      </w:tr>
    </w:tbl>
    <w:p w:rsidR="00326BEB" w:rsidRPr="00023B29" w:rsidRDefault="00326BEB" w:rsidP="002E149F">
      <w:pPr>
        <w:spacing w:after="120"/>
        <w:ind w:right="142"/>
        <w:jc w:val="both"/>
        <w:rPr>
          <w:sz w:val="26"/>
          <w:szCs w:val="26"/>
          <w:rtl/>
        </w:rPr>
      </w:pPr>
    </w:p>
    <w:sectPr w:rsidR="00326BEB" w:rsidRPr="00023B29" w:rsidSect="002E149F">
      <w:pgSz w:w="11906" w:h="16838"/>
      <w:pgMar w:top="851" w:right="424" w:bottom="0" w:left="709" w:header="708" w:footer="708" w:gutter="0"/>
      <w:pgBorders w:offsetFrom="page">
        <w:top w:val="tornPaperBlack" w:sz="18" w:space="24" w:color="auto"/>
        <w:left w:val="tornPaperBlack" w:sz="18" w:space="24" w:color="auto"/>
        <w:bottom w:val="tornPaperBlack" w:sz="18" w:space="24" w:color="auto"/>
        <w:right w:val="tornPaperBlack"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B Titr Bold+FPEF">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6BEB"/>
    <w:rsid w:val="001B1E69"/>
    <w:rsid w:val="00233FBE"/>
    <w:rsid w:val="002E149F"/>
    <w:rsid w:val="0032418F"/>
    <w:rsid w:val="00326BEB"/>
    <w:rsid w:val="003D623D"/>
    <w:rsid w:val="00414A72"/>
    <w:rsid w:val="00500333"/>
    <w:rsid w:val="006860D4"/>
    <w:rsid w:val="00861B89"/>
    <w:rsid w:val="009E1D7B"/>
    <w:rsid w:val="00AB6640"/>
    <w:rsid w:val="00AC469A"/>
    <w:rsid w:val="00C47FD5"/>
    <w:rsid w:val="00D247EB"/>
    <w:rsid w:val="00D82234"/>
    <w:rsid w:val="00DF6431"/>
    <w:rsid w:val="00E27A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kern w:val="36"/>
        <w:sz w:val="32"/>
        <w:szCs w:val="32"/>
        <w:lang w:val="en-US" w:eastAsia="en-US" w:bidi="fa-IR"/>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EB"/>
    <w:pPr>
      <w:bidi/>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3D623D"/>
    <w:pPr>
      <w:spacing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326BEB"/>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Company>Kaums</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karasi-am</dc:creator>
  <cp:keywords/>
  <dc:description/>
  <cp:lastModifiedBy>abdollahi-ma</cp:lastModifiedBy>
  <cp:revision>2</cp:revision>
  <dcterms:created xsi:type="dcterms:W3CDTF">2016-02-15T08:52:00Z</dcterms:created>
  <dcterms:modified xsi:type="dcterms:W3CDTF">2016-02-15T08:52:00Z</dcterms:modified>
</cp:coreProperties>
</file>